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 w:val="24"/>
          <w:szCs w:val="24"/>
        </w:rPr>
      </w:pPr>
    </w:p>
    <w:p>
      <w:pPr>
        <w:jc w:val="center"/>
        <w:rPr>
          <w:rFonts w:hint="eastAsia" w:ascii="宋体" w:hAnsi="宋体"/>
          <w:b/>
          <w:bCs/>
          <w:sz w:val="24"/>
          <w:szCs w:val="24"/>
        </w:rPr>
      </w:pPr>
      <w:r>
        <w:rPr>
          <w:rFonts w:hint="eastAsia" w:ascii="宋体" w:hAnsi="宋体" w:cs="宋体"/>
          <w:b/>
          <w:bCs/>
          <w:sz w:val="24"/>
          <w:szCs w:val="24"/>
        </w:rPr>
        <w:t>中国地质科学院地质研究所</w:t>
      </w:r>
      <w:r>
        <w:rPr>
          <w:rFonts w:hint="eastAsia" w:ascii="宋体" w:hAnsi="宋体"/>
          <w:b/>
          <w:bCs/>
          <w:sz w:val="24"/>
          <w:szCs w:val="24"/>
        </w:rPr>
        <w:t>青藏高原北部关键地区深地震反射数据特殊处理</w:t>
      </w:r>
    </w:p>
    <w:p>
      <w:pPr>
        <w:jc w:val="center"/>
        <w:rPr>
          <w:rFonts w:hint="eastAsia" w:ascii="宋体" w:hAnsi="宋体"/>
          <w:b/>
          <w:bCs/>
          <w:sz w:val="24"/>
          <w:szCs w:val="24"/>
          <w:lang w:val="en-US" w:eastAsia="zh-CN"/>
        </w:rPr>
      </w:pPr>
      <w:r>
        <w:rPr>
          <w:rFonts w:hint="eastAsia" w:ascii="宋体" w:hAnsi="宋体"/>
          <w:b/>
          <w:bCs/>
          <w:sz w:val="24"/>
          <w:szCs w:val="24"/>
          <w:lang w:val="en-US" w:eastAsia="zh-CN"/>
        </w:rPr>
        <w:t>招标公告</w:t>
      </w:r>
    </w:p>
    <w:p>
      <w:pPr>
        <w:rPr>
          <w:rFonts w:hint="eastAsia" w:ascii="宋体" w:hAnsi="宋体"/>
          <w:sz w:val="24"/>
          <w:szCs w:val="24"/>
          <w:lang w:val="en-US" w:eastAsia="zh-CN"/>
        </w:rPr>
      </w:pPr>
    </w:p>
    <w:p>
      <w:pPr>
        <w:spacing w:line="380" w:lineRule="exact"/>
        <w:ind w:firstLine="420" w:firstLineChars="200"/>
        <w:rPr>
          <w:rFonts w:ascii="宋体" w:hAnsi="宋体"/>
          <w:sz w:val="24"/>
          <w:szCs w:val="24"/>
        </w:rPr>
      </w:pPr>
      <w:r>
        <w:rPr>
          <w:rFonts w:hint="eastAsia"/>
        </w:rPr>
        <w:t xml:space="preserve"> </w:t>
      </w:r>
      <w:r>
        <w:rPr>
          <w:rFonts w:hint="eastAsia" w:ascii="宋体" w:hAnsi="宋体"/>
          <w:sz w:val="24"/>
          <w:szCs w:val="24"/>
          <w:u w:val="single"/>
        </w:rPr>
        <w:t>“青藏高原北部关键地区深地震反射数据特殊处理”项目</w:t>
      </w:r>
      <w:r>
        <w:rPr>
          <w:rFonts w:hint="eastAsia" w:ascii="宋体" w:hAnsi="宋体"/>
          <w:sz w:val="24"/>
          <w:szCs w:val="24"/>
        </w:rPr>
        <w:t>的潜在投标人应在</w:t>
      </w:r>
      <w:r>
        <w:rPr>
          <w:rFonts w:hint="eastAsia" w:hAnsi="宋体"/>
          <w:sz w:val="24"/>
          <w:szCs w:val="24"/>
          <w:u w:val="single"/>
        </w:rPr>
        <w:t>网上</w:t>
      </w:r>
      <w:r>
        <w:rPr>
          <w:rFonts w:hint="eastAsia" w:ascii="宋体" w:hAnsi="宋体"/>
          <w:sz w:val="24"/>
          <w:szCs w:val="24"/>
        </w:rPr>
        <w:t>获取招标文件，并于</w:t>
      </w:r>
      <w:r>
        <w:rPr>
          <w:rFonts w:hint="eastAsia" w:hAnsi="宋体"/>
          <w:sz w:val="24"/>
          <w:szCs w:val="24"/>
          <w:u w:val="single"/>
        </w:rPr>
        <w:t>202</w:t>
      </w:r>
      <w:r>
        <w:rPr>
          <w:rFonts w:hAnsi="宋体"/>
          <w:sz w:val="24"/>
          <w:szCs w:val="24"/>
          <w:u w:val="single"/>
        </w:rPr>
        <w:t>1</w:t>
      </w:r>
      <w:r>
        <w:rPr>
          <w:rFonts w:hint="eastAsia" w:hAnsi="宋体"/>
          <w:sz w:val="24"/>
          <w:szCs w:val="24"/>
          <w:u w:val="single"/>
        </w:rPr>
        <w:t>年</w:t>
      </w:r>
      <w:r>
        <w:rPr>
          <w:rFonts w:hint="eastAsia" w:hAnsi="宋体"/>
          <w:sz w:val="24"/>
          <w:szCs w:val="24"/>
          <w:u w:val="single"/>
          <w:lang w:val="en-US" w:eastAsia="zh-CN"/>
        </w:rPr>
        <w:t>10</w:t>
      </w:r>
      <w:r>
        <w:rPr>
          <w:rFonts w:hint="eastAsia" w:hAnsi="宋体"/>
          <w:sz w:val="24"/>
          <w:szCs w:val="24"/>
          <w:u w:val="single"/>
        </w:rPr>
        <w:t>月</w:t>
      </w:r>
      <w:r>
        <w:rPr>
          <w:rFonts w:hint="eastAsia" w:hAnsi="宋体"/>
          <w:sz w:val="24"/>
          <w:szCs w:val="24"/>
          <w:u w:val="single"/>
          <w:lang w:val="en-US" w:eastAsia="zh-CN"/>
        </w:rPr>
        <w:t>19</w:t>
      </w:r>
      <w:r>
        <w:rPr>
          <w:rFonts w:hAnsi="宋体"/>
          <w:sz w:val="24"/>
          <w:szCs w:val="24"/>
          <w:u w:val="single"/>
        </w:rPr>
        <w:t xml:space="preserve"> </w:t>
      </w:r>
      <w:r>
        <w:rPr>
          <w:rFonts w:hint="eastAsia" w:hAnsi="宋体"/>
          <w:sz w:val="24"/>
          <w:szCs w:val="24"/>
          <w:u w:val="single"/>
        </w:rPr>
        <w:t>日</w:t>
      </w:r>
      <w:r>
        <w:rPr>
          <w:rFonts w:hint="eastAsia" w:hAnsi="宋体"/>
          <w:sz w:val="24"/>
          <w:szCs w:val="24"/>
          <w:u w:val="single"/>
          <w:lang w:val="en-US" w:eastAsia="zh-CN"/>
        </w:rPr>
        <w:t>09</w:t>
      </w:r>
      <w:r>
        <w:rPr>
          <w:rFonts w:hint="eastAsia" w:hAnsi="宋体"/>
          <w:sz w:val="24"/>
          <w:szCs w:val="24"/>
          <w:u w:val="single"/>
        </w:rPr>
        <w:t>时</w:t>
      </w:r>
      <w:r>
        <w:rPr>
          <w:rFonts w:hint="eastAsia" w:hAnsi="宋体"/>
          <w:sz w:val="24"/>
          <w:szCs w:val="24"/>
          <w:u w:val="single"/>
          <w:lang w:val="en-US" w:eastAsia="zh-CN"/>
        </w:rPr>
        <w:t>30</w:t>
      </w:r>
      <w:r>
        <w:rPr>
          <w:rFonts w:hint="eastAsia" w:hAnsi="宋体"/>
          <w:sz w:val="24"/>
          <w:szCs w:val="24"/>
          <w:u w:val="single"/>
        </w:rPr>
        <w:t>分整</w:t>
      </w:r>
      <w:r>
        <w:rPr>
          <w:rFonts w:hint="eastAsia" w:ascii="宋体" w:hAnsi="宋体"/>
          <w:bCs/>
          <w:sz w:val="24"/>
          <w:szCs w:val="24"/>
          <w:u w:val="single"/>
        </w:rPr>
        <w:t>（</w:t>
      </w:r>
      <w:r>
        <w:rPr>
          <w:rFonts w:hint="eastAsia" w:ascii="宋体" w:hAnsi="宋体"/>
          <w:bCs/>
          <w:sz w:val="24"/>
          <w:szCs w:val="24"/>
        </w:rPr>
        <w:t>北京时间）前递交投标</w:t>
      </w:r>
      <w:r>
        <w:rPr>
          <w:rFonts w:ascii="宋体" w:hAnsi="宋体"/>
          <w:bCs/>
          <w:sz w:val="24"/>
          <w:szCs w:val="24"/>
        </w:rPr>
        <w:t>文件</w:t>
      </w:r>
      <w:r>
        <w:rPr>
          <w:rFonts w:hint="eastAsia" w:ascii="宋体" w:hAnsi="宋体"/>
          <w:sz w:val="24"/>
          <w:szCs w:val="24"/>
        </w:rPr>
        <w:t>。</w:t>
      </w:r>
    </w:p>
    <w:p>
      <w:pPr>
        <w:spacing w:line="380" w:lineRule="exact"/>
        <w:rPr>
          <w:b/>
        </w:rPr>
      </w:pPr>
      <w:bookmarkStart w:id="0" w:name="_Toc28359079"/>
      <w:bookmarkStart w:id="1" w:name="_Toc35393621"/>
      <w:bookmarkStart w:id="2" w:name="_Toc28359002"/>
      <w:bookmarkStart w:id="3" w:name="_Toc35393790"/>
      <w:bookmarkStart w:id="4" w:name="_Hlk24379207"/>
      <w:r>
        <w:rPr>
          <w:rFonts w:hint="eastAsia"/>
          <w:b/>
        </w:rPr>
        <w:t>一、项目基本情况</w:t>
      </w:r>
      <w:bookmarkEnd w:id="0"/>
      <w:bookmarkEnd w:id="1"/>
      <w:bookmarkEnd w:id="2"/>
      <w:bookmarkEnd w:id="3"/>
    </w:p>
    <w:p>
      <w:pPr>
        <w:spacing w:line="380" w:lineRule="exact"/>
        <w:ind w:firstLine="480" w:firstLineChars="200"/>
        <w:rPr>
          <w:rFonts w:ascii="宋体" w:hAnsi="宋体"/>
          <w:sz w:val="24"/>
          <w:szCs w:val="24"/>
        </w:rPr>
      </w:pPr>
      <w:r>
        <w:rPr>
          <w:rFonts w:hint="eastAsia" w:ascii="宋体" w:hAnsi="宋体"/>
          <w:sz w:val="24"/>
          <w:szCs w:val="24"/>
        </w:rPr>
        <w:t>项目编号：21CNIC026473-200</w:t>
      </w:r>
      <w:r>
        <w:rPr>
          <w:rFonts w:ascii="宋体" w:hAnsi="宋体"/>
          <w:sz w:val="24"/>
          <w:szCs w:val="24"/>
        </w:rPr>
        <w:t xml:space="preserve"> </w:t>
      </w:r>
    </w:p>
    <w:p>
      <w:pPr>
        <w:spacing w:line="380" w:lineRule="exact"/>
        <w:ind w:firstLine="480" w:firstLineChars="200"/>
        <w:rPr>
          <w:rFonts w:ascii="宋体" w:hAnsi="宋体"/>
          <w:sz w:val="24"/>
          <w:szCs w:val="24"/>
        </w:rPr>
      </w:pPr>
      <w:r>
        <w:rPr>
          <w:rFonts w:hint="eastAsia" w:ascii="宋体" w:hAnsi="宋体"/>
          <w:sz w:val="24"/>
          <w:szCs w:val="24"/>
        </w:rPr>
        <w:t>项目名称：</w:t>
      </w:r>
      <w:bookmarkEnd w:id="4"/>
      <w:r>
        <w:rPr>
          <w:rFonts w:hint="eastAsia" w:ascii="宋体" w:hAnsi="宋体"/>
          <w:sz w:val="24"/>
          <w:szCs w:val="24"/>
        </w:rPr>
        <w:t>青藏高原北部关键地区深地震反射数据特殊处理</w:t>
      </w:r>
    </w:p>
    <w:p>
      <w:pPr>
        <w:spacing w:line="380" w:lineRule="exact"/>
        <w:ind w:firstLine="480" w:firstLineChars="200"/>
        <w:rPr>
          <w:rFonts w:ascii="宋体" w:hAnsi="宋体"/>
          <w:sz w:val="24"/>
          <w:szCs w:val="24"/>
        </w:rPr>
      </w:pPr>
      <w:r>
        <w:rPr>
          <w:rFonts w:hint="eastAsia" w:ascii="宋体" w:hAnsi="宋体"/>
          <w:sz w:val="24"/>
          <w:szCs w:val="24"/>
        </w:rPr>
        <w:t>预算金额：项目总</w:t>
      </w:r>
      <w:r>
        <w:rPr>
          <w:rFonts w:ascii="宋体" w:hAnsi="宋体"/>
          <w:sz w:val="24"/>
          <w:szCs w:val="24"/>
        </w:rPr>
        <w:t>预算</w:t>
      </w:r>
      <w:r>
        <w:rPr>
          <w:rFonts w:ascii="宋体" w:hAnsi="宋体"/>
          <w:b w:val="0"/>
          <w:bCs w:val="0"/>
          <w:sz w:val="24"/>
          <w:szCs w:val="24"/>
        </w:rPr>
        <w:t>80</w:t>
      </w:r>
      <w:r>
        <w:rPr>
          <w:rFonts w:hint="eastAsia" w:ascii="宋体" w:hAnsi="宋体"/>
          <w:sz w:val="24"/>
          <w:szCs w:val="24"/>
        </w:rPr>
        <w:t>万元，超过</w:t>
      </w:r>
      <w:r>
        <w:rPr>
          <w:rFonts w:ascii="宋体" w:hAnsi="宋体"/>
          <w:sz w:val="24"/>
          <w:szCs w:val="24"/>
        </w:rPr>
        <w:t>预算的</w:t>
      </w:r>
      <w:r>
        <w:rPr>
          <w:rFonts w:hint="eastAsia" w:ascii="宋体" w:hAnsi="宋体"/>
          <w:sz w:val="24"/>
          <w:szCs w:val="24"/>
        </w:rPr>
        <w:t>的投标报价将被视为无效报价。</w:t>
      </w:r>
    </w:p>
    <w:p>
      <w:pPr>
        <w:spacing w:line="380" w:lineRule="exact"/>
        <w:ind w:firstLine="480" w:firstLineChars="200"/>
        <w:rPr>
          <w:rFonts w:ascii="宋体" w:hAnsi="宋体"/>
          <w:sz w:val="24"/>
          <w:szCs w:val="24"/>
        </w:rPr>
      </w:pPr>
      <w:r>
        <w:rPr>
          <w:rFonts w:hint="eastAsia" w:ascii="宋体" w:hAnsi="宋体"/>
          <w:sz w:val="24"/>
          <w:szCs w:val="24"/>
        </w:rPr>
        <w:t>最高限价：80万元</w:t>
      </w:r>
    </w:p>
    <w:p>
      <w:pPr>
        <w:spacing w:line="380" w:lineRule="exact"/>
        <w:ind w:firstLine="480" w:firstLineChars="200"/>
        <w:rPr>
          <w:rFonts w:ascii="宋体" w:hAnsi="宋体"/>
          <w:sz w:val="24"/>
          <w:szCs w:val="24"/>
        </w:rPr>
      </w:pPr>
      <w:r>
        <w:rPr>
          <w:rFonts w:hint="eastAsia" w:ascii="宋体" w:hAnsi="宋体"/>
          <w:sz w:val="24"/>
          <w:szCs w:val="24"/>
        </w:rPr>
        <w:t>采购需求：</w:t>
      </w:r>
    </w:p>
    <w:p>
      <w:pPr>
        <w:spacing w:line="380" w:lineRule="exact"/>
        <w:ind w:firstLine="480" w:firstLineChars="200"/>
        <w:rPr>
          <w:rFonts w:ascii="宋体" w:hAnsi="宋体"/>
          <w:sz w:val="24"/>
          <w:szCs w:val="24"/>
        </w:rPr>
      </w:pPr>
      <w:r>
        <w:rPr>
          <w:rFonts w:hint="eastAsia" w:ascii="宋体" w:hAnsi="宋体"/>
          <w:sz w:val="24"/>
          <w:szCs w:val="24"/>
        </w:rPr>
        <w:t>“青藏高原北部关键地区深地震反射数据特殊处理”是中国地质科学院地质研究所承担的国家专项“第二次青藏高原综合科学考察研究”所属“高原生长与演化”任务之“关键地区岩石圈精细结构与浅部响应”专题下设的工作内容。该专题旨在获得藏北岩石圈精细结构，形成横贯青藏高原南北高分辨率探测剖面，完整、系统地揭示高原地壳缩短、岩石圈增厚及横向扩展的机制，从深部结构上回答班-怒、金沙江缝合带的俯冲极性、藏北高原巨厚地壳的形成机制，为高原生态屏障的形成机理，以及欧亚板块是否南向俯冲于青藏高原之下的科学问题。专题于2019年-2021年在青藏高原北部实施一条深地震反射剖面探测，总长满叠~400km。</w:t>
      </w:r>
    </w:p>
    <w:p>
      <w:pPr>
        <w:spacing w:line="380" w:lineRule="exact"/>
        <w:ind w:firstLine="480" w:firstLineChars="200"/>
        <w:rPr>
          <w:rFonts w:ascii="宋体" w:hAnsi="宋体"/>
          <w:sz w:val="24"/>
          <w:szCs w:val="24"/>
        </w:rPr>
      </w:pPr>
      <w:r>
        <w:rPr>
          <w:rFonts w:hint="eastAsia" w:ascii="宋体" w:hAnsi="宋体"/>
          <w:sz w:val="24"/>
          <w:szCs w:val="24"/>
        </w:rPr>
        <w:t>根据专题任务书要求，青藏高原北部关键地区深地震反射数据特殊处理任务需在原常规数据基础上，认真分析原始数据资料特点，开展深地震反射数据处理方法试验，重点解决不同药量井深激发、巨厚地壳、地表起伏剧烈、地下结构横向变化大、岩浆岩发育等影响地震成像的问题，确立特殊处理技术方法体系，获得叠加、偏移成像剖面，揭示青藏高原北部关键地区地壳浅、中、深层精细结构。</w:t>
      </w:r>
    </w:p>
    <w:p>
      <w:pPr>
        <w:spacing w:line="380" w:lineRule="exact"/>
        <w:ind w:firstLine="480" w:firstLineChars="200"/>
        <w:rPr>
          <w:rFonts w:ascii="宋体" w:hAnsi="宋体"/>
          <w:sz w:val="24"/>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1655"/>
        <w:gridCol w:w="165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330" w:type="dxa"/>
            <w:vAlign w:val="center"/>
          </w:tcPr>
          <w:p>
            <w:pPr>
              <w:jc w:val="center"/>
              <w:rPr>
                <w:szCs w:val="21"/>
              </w:rPr>
            </w:pPr>
            <w:r>
              <w:rPr>
                <w:szCs w:val="21"/>
              </w:rPr>
              <w:t>服务项目名称</w:t>
            </w:r>
          </w:p>
        </w:tc>
        <w:tc>
          <w:tcPr>
            <w:tcW w:w="1655" w:type="dxa"/>
            <w:vAlign w:val="center"/>
          </w:tcPr>
          <w:p>
            <w:pPr>
              <w:jc w:val="center"/>
              <w:rPr>
                <w:szCs w:val="21"/>
              </w:rPr>
            </w:pPr>
            <w:r>
              <w:rPr>
                <w:rFonts w:hint="eastAsia"/>
                <w:szCs w:val="21"/>
              </w:rPr>
              <w:t>工作内容</w:t>
            </w:r>
          </w:p>
        </w:tc>
        <w:tc>
          <w:tcPr>
            <w:tcW w:w="1655" w:type="dxa"/>
            <w:vAlign w:val="center"/>
          </w:tcPr>
          <w:p>
            <w:pPr>
              <w:jc w:val="center"/>
              <w:rPr>
                <w:szCs w:val="21"/>
              </w:rPr>
            </w:pPr>
            <w:r>
              <w:rPr>
                <w:rFonts w:hint="eastAsia"/>
                <w:szCs w:val="21"/>
              </w:rPr>
              <w:t>预算</w:t>
            </w:r>
          </w:p>
        </w:tc>
        <w:tc>
          <w:tcPr>
            <w:tcW w:w="2347" w:type="dxa"/>
            <w:vAlign w:val="center"/>
          </w:tcPr>
          <w:p>
            <w:pPr>
              <w:jc w:val="center"/>
              <w:rPr>
                <w:szCs w:val="21"/>
              </w:rPr>
            </w:pPr>
            <w:r>
              <w:rPr>
                <w:rFonts w:hint="eastAsia"/>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3330" w:type="dxa"/>
            <w:vAlign w:val="center"/>
          </w:tcPr>
          <w:p>
            <w:pPr>
              <w:pStyle w:val="6"/>
              <w:jc w:val="center"/>
              <w:rPr>
                <w:rFonts w:ascii="Times New Roman" w:hAnsi="Times New Roman"/>
                <w:szCs w:val="21"/>
              </w:rPr>
            </w:pPr>
            <w:r>
              <w:rPr>
                <w:rFonts w:hint="eastAsia" w:ascii="Times New Roman" w:hAnsi="Times New Roman"/>
                <w:szCs w:val="21"/>
              </w:rPr>
              <w:t>青藏高原北部关键地区深地震反射数据特殊处理</w:t>
            </w:r>
          </w:p>
        </w:tc>
        <w:tc>
          <w:tcPr>
            <w:tcW w:w="1655" w:type="dxa"/>
            <w:vAlign w:val="center"/>
          </w:tcPr>
          <w:p>
            <w:pPr>
              <w:jc w:val="center"/>
              <w:rPr>
                <w:bCs/>
                <w:szCs w:val="21"/>
              </w:rPr>
            </w:pPr>
            <w:r>
              <w:rPr>
                <w:rFonts w:hint="eastAsia"/>
                <w:bCs/>
                <w:szCs w:val="21"/>
              </w:rPr>
              <w:t>完成青藏高原北部关键地区深地震反射数据特殊处理，获得叠加和偏移成像成果剖面。</w:t>
            </w:r>
          </w:p>
        </w:tc>
        <w:tc>
          <w:tcPr>
            <w:tcW w:w="1655" w:type="dxa"/>
            <w:vAlign w:val="center"/>
          </w:tcPr>
          <w:p>
            <w:pPr>
              <w:jc w:val="center"/>
              <w:rPr>
                <w:bCs/>
                <w:szCs w:val="21"/>
              </w:rPr>
            </w:pPr>
            <w:r>
              <w:rPr>
                <w:rFonts w:hint="eastAsia"/>
                <w:bCs/>
                <w:szCs w:val="21"/>
              </w:rPr>
              <w:t>人民币8</w:t>
            </w:r>
            <w:r>
              <w:rPr>
                <w:bCs/>
                <w:szCs w:val="21"/>
              </w:rPr>
              <w:t>0</w:t>
            </w:r>
            <w:r>
              <w:rPr>
                <w:rFonts w:hint="eastAsia"/>
                <w:bCs/>
                <w:szCs w:val="21"/>
              </w:rPr>
              <w:t>万</w:t>
            </w:r>
          </w:p>
        </w:tc>
        <w:tc>
          <w:tcPr>
            <w:tcW w:w="2347" w:type="dxa"/>
            <w:vAlign w:val="center"/>
          </w:tcPr>
          <w:p>
            <w:pPr>
              <w:jc w:val="center"/>
              <w:rPr>
                <w:bCs/>
                <w:szCs w:val="21"/>
              </w:rPr>
            </w:pPr>
            <w:r>
              <w:rPr>
                <w:rFonts w:hint="eastAsia"/>
                <w:bCs/>
                <w:szCs w:val="21"/>
              </w:rPr>
              <w:t>自签署中标合同后6个月内完成</w:t>
            </w:r>
          </w:p>
        </w:tc>
      </w:tr>
    </w:tbl>
    <w:p>
      <w:pPr>
        <w:spacing w:line="380" w:lineRule="exact"/>
        <w:ind w:firstLine="480" w:firstLineChars="200"/>
        <w:rPr>
          <w:rFonts w:ascii="宋体" w:hAnsi="宋体"/>
          <w:sz w:val="24"/>
          <w:szCs w:val="24"/>
        </w:rPr>
      </w:pPr>
    </w:p>
    <w:p>
      <w:pPr>
        <w:spacing w:line="380" w:lineRule="exact"/>
        <w:ind w:firstLine="480" w:firstLineChars="200"/>
        <w:rPr>
          <w:rFonts w:ascii="宋体" w:hAnsi="宋体"/>
          <w:sz w:val="24"/>
          <w:szCs w:val="24"/>
        </w:rPr>
      </w:pPr>
    </w:p>
    <w:p>
      <w:pPr>
        <w:spacing w:line="380" w:lineRule="exact"/>
        <w:ind w:firstLine="480" w:firstLineChars="200"/>
        <w:rPr>
          <w:rFonts w:ascii="宋体" w:hAnsi="宋体"/>
          <w:sz w:val="24"/>
          <w:szCs w:val="24"/>
        </w:rPr>
      </w:pPr>
    </w:p>
    <w:p>
      <w:pPr>
        <w:spacing w:line="380" w:lineRule="exact"/>
        <w:ind w:firstLine="480" w:firstLineChars="200"/>
        <w:rPr>
          <w:rFonts w:ascii="宋体" w:hAnsi="宋体"/>
          <w:sz w:val="24"/>
          <w:szCs w:val="24"/>
          <w:u w:val="single"/>
        </w:rPr>
      </w:pPr>
      <w:r>
        <w:rPr>
          <w:rFonts w:hint="eastAsia" w:ascii="宋体" w:hAnsi="宋体"/>
          <w:sz w:val="24"/>
          <w:szCs w:val="24"/>
        </w:rPr>
        <w:t>具体要求详见招标文件第六章项目采购需求。</w:t>
      </w:r>
    </w:p>
    <w:p>
      <w:pPr>
        <w:adjustRightInd w:val="0"/>
        <w:snapToGrid w:val="0"/>
        <w:spacing w:line="380" w:lineRule="exact"/>
        <w:ind w:firstLine="480" w:firstLineChars="200"/>
        <w:rPr>
          <w:rFonts w:ascii="宋体" w:hAnsi="宋体" w:cs="宋体"/>
          <w:sz w:val="24"/>
          <w:szCs w:val="24"/>
        </w:rPr>
      </w:pPr>
      <w:r>
        <w:rPr>
          <w:rFonts w:hint="eastAsia" w:ascii="宋体" w:hAnsi="宋体"/>
          <w:sz w:val="24"/>
          <w:szCs w:val="24"/>
        </w:rPr>
        <w:t>合同履行期限：</w:t>
      </w:r>
      <w:r>
        <w:rPr>
          <w:rFonts w:hint="eastAsia" w:ascii="宋体"/>
          <w:sz w:val="24"/>
          <w:szCs w:val="24"/>
        </w:rPr>
        <w:t>合同签订后</w:t>
      </w:r>
      <w:r>
        <w:rPr>
          <w:rFonts w:hint="eastAsia" w:ascii="宋体"/>
          <w:b w:val="0"/>
          <w:bCs w:val="0"/>
          <w:sz w:val="24"/>
          <w:szCs w:val="24"/>
        </w:rPr>
        <w:t>6</w:t>
      </w:r>
      <w:r>
        <w:rPr>
          <w:rFonts w:hint="eastAsia" w:ascii="宋体"/>
          <w:sz w:val="24"/>
          <w:szCs w:val="24"/>
        </w:rPr>
        <w:t>个月。</w:t>
      </w:r>
    </w:p>
    <w:p>
      <w:pPr>
        <w:spacing w:line="380" w:lineRule="exact"/>
        <w:ind w:firstLine="480" w:firstLineChars="200"/>
        <w:rPr>
          <w:rFonts w:ascii="宋体" w:hAnsi="宋体"/>
          <w:sz w:val="24"/>
          <w:szCs w:val="24"/>
        </w:rPr>
      </w:pPr>
      <w:r>
        <w:rPr>
          <w:rFonts w:hint="eastAsia" w:ascii="宋体" w:hAnsi="宋体"/>
          <w:sz w:val="24"/>
          <w:szCs w:val="24"/>
        </w:rPr>
        <w:t>不接受联合体投标。</w:t>
      </w:r>
    </w:p>
    <w:p>
      <w:pPr>
        <w:spacing w:line="380" w:lineRule="exact"/>
        <w:rPr>
          <w:b/>
        </w:rPr>
      </w:pPr>
      <w:bookmarkStart w:id="5" w:name="_Toc28359003"/>
      <w:bookmarkStart w:id="6" w:name="_Toc28359080"/>
      <w:bookmarkStart w:id="7" w:name="_Toc35393622"/>
      <w:bookmarkStart w:id="8" w:name="_Toc35393791"/>
      <w:r>
        <w:rPr>
          <w:rFonts w:hint="eastAsia"/>
          <w:b/>
        </w:rPr>
        <w:t>二、申请人的资格要求：</w:t>
      </w:r>
      <w:bookmarkEnd w:id="5"/>
      <w:bookmarkEnd w:id="6"/>
      <w:bookmarkEnd w:id="7"/>
      <w:bookmarkEnd w:id="8"/>
    </w:p>
    <w:p>
      <w:pPr>
        <w:spacing w:line="380" w:lineRule="exact"/>
        <w:ind w:firstLine="480" w:firstLineChars="200"/>
        <w:rPr>
          <w:rFonts w:ascii="宋体" w:hAnsi="宋体"/>
          <w:sz w:val="24"/>
          <w:szCs w:val="24"/>
        </w:rPr>
      </w:pPr>
      <w:r>
        <w:rPr>
          <w:rFonts w:hint="eastAsia" w:ascii="宋体" w:hAnsi="宋体"/>
          <w:sz w:val="24"/>
          <w:szCs w:val="24"/>
        </w:rPr>
        <w:t>1.满足《中华人民共和国政府采购法》第二十二条规定：</w:t>
      </w:r>
    </w:p>
    <w:p>
      <w:pPr>
        <w:tabs>
          <w:tab w:val="left" w:pos="426"/>
          <w:tab w:val="left" w:pos="540"/>
        </w:tabs>
        <w:spacing w:line="38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具有独立承担民事责任的能力；</w:t>
      </w:r>
    </w:p>
    <w:p>
      <w:pPr>
        <w:tabs>
          <w:tab w:val="left" w:pos="426"/>
          <w:tab w:val="left" w:pos="540"/>
        </w:tabs>
        <w:spacing w:line="38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具有良好的商业信誉和健全的财务会计制度；</w:t>
      </w:r>
    </w:p>
    <w:p>
      <w:pPr>
        <w:tabs>
          <w:tab w:val="left" w:pos="426"/>
          <w:tab w:val="left" w:pos="540"/>
        </w:tabs>
        <w:spacing w:line="38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具有履行合同所必需的设备和专业技术能力；</w:t>
      </w:r>
    </w:p>
    <w:p>
      <w:pPr>
        <w:tabs>
          <w:tab w:val="left" w:pos="426"/>
          <w:tab w:val="left" w:pos="540"/>
        </w:tabs>
        <w:spacing w:line="38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有依法缴纳税收和社会保障资金的良好记录；</w:t>
      </w:r>
    </w:p>
    <w:p>
      <w:pPr>
        <w:tabs>
          <w:tab w:val="left" w:pos="426"/>
          <w:tab w:val="left" w:pos="540"/>
        </w:tabs>
        <w:spacing w:line="38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参加政府采购活动前三年内，在经营活动中没有重大违法记录；</w:t>
      </w:r>
    </w:p>
    <w:p>
      <w:pPr>
        <w:spacing w:line="38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法律、行政法规规定的其他条件</w:t>
      </w:r>
      <w:r>
        <w:rPr>
          <w:rFonts w:hint="eastAsia" w:ascii="宋体" w:hAnsi="宋体"/>
          <w:sz w:val="24"/>
          <w:szCs w:val="24"/>
        </w:rPr>
        <w:t>。</w:t>
      </w:r>
    </w:p>
    <w:p>
      <w:pPr>
        <w:spacing w:line="380" w:lineRule="exact"/>
        <w:ind w:firstLine="480" w:firstLineChars="200"/>
        <w:rPr>
          <w:rFonts w:ascii="宋体" w:hAnsi="宋体"/>
          <w:sz w:val="24"/>
          <w:szCs w:val="24"/>
        </w:rPr>
      </w:pPr>
      <w:bookmarkStart w:id="9" w:name="_Toc28359081"/>
      <w:bookmarkStart w:id="10" w:name="_Toc28359004"/>
      <w:r>
        <w:rPr>
          <w:rFonts w:ascii="宋体" w:hAnsi="宋体"/>
          <w:sz w:val="24"/>
          <w:szCs w:val="24"/>
        </w:rPr>
        <w:t>2</w:t>
      </w:r>
      <w:r>
        <w:rPr>
          <w:rFonts w:hint="eastAsia" w:ascii="宋体" w:hAnsi="宋体"/>
          <w:sz w:val="24"/>
          <w:szCs w:val="24"/>
        </w:rPr>
        <w:t>.落实政府采购政策需满足的资格要求：对小型和微型企业产品的价格给予</w:t>
      </w:r>
      <w:r>
        <w:rPr>
          <w:rFonts w:ascii="宋体" w:hAnsi="宋体"/>
          <w:sz w:val="24"/>
          <w:szCs w:val="24"/>
        </w:rPr>
        <w:t>6%</w:t>
      </w:r>
      <w:r>
        <w:rPr>
          <w:rFonts w:hint="eastAsia" w:ascii="宋体" w:hAnsi="宋体"/>
          <w:sz w:val="24"/>
          <w:szCs w:val="24"/>
        </w:rPr>
        <w:t>的扣除，用扣除后的价格参与评审。</w:t>
      </w:r>
      <w:r>
        <w:rPr>
          <w:rFonts w:ascii="宋体" w:hAnsi="宋体"/>
          <w:sz w:val="24"/>
          <w:szCs w:val="24"/>
        </w:rPr>
        <w:t>残疾人福利性单位</w:t>
      </w:r>
      <w:r>
        <w:rPr>
          <w:rFonts w:hint="eastAsia" w:ascii="宋体" w:hAnsi="宋体"/>
          <w:sz w:val="24"/>
          <w:szCs w:val="24"/>
        </w:rPr>
        <w:t>视同小微企业，</w:t>
      </w:r>
      <w:r>
        <w:rPr>
          <w:rFonts w:ascii="宋体" w:hAnsi="宋体"/>
          <w:sz w:val="24"/>
          <w:szCs w:val="24"/>
        </w:rPr>
        <w:t>符合条件的残疾人福利性单位在参加政府采购活动时，应当提供本《残疾人福利性单位声明函》，并对声明的真实性负责。</w:t>
      </w:r>
      <w:r>
        <w:rPr>
          <w:rFonts w:hint="eastAsia" w:ascii="宋体" w:hAnsi="宋体"/>
          <w:sz w:val="24"/>
          <w:szCs w:val="24"/>
        </w:rPr>
        <w:t>监狱企业视同小微企业，</w:t>
      </w:r>
      <w:r>
        <w:rPr>
          <w:rFonts w:hint="eastAsia" w:hAnsi="宋体"/>
          <w:sz w:val="24"/>
          <w:szCs w:val="24"/>
        </w:rPr>
        <w:t>应提供由省级以上监狱管理局、戒毒管理局（含新疆生产建设兵团）出具的属于监狱企业的证明文件。</w:t>
      </w:r>
      <w:r>
        <w:rPr>
          <w:rFonts w:ascii="宋体" w:hAnsi="宋体"/>
          <w:sz w:val="24"/>
          <w:szCs w:val="24"/>
        </w:rPr>
        <w:t>中标供应商为</w:t>
      </w:r>
      <w:r>
        <w:rPr>
          <w:rFonts w:hint="eastAsia" w:ascii="宋体" w:hAnsi="宋体"/>
          <w:sz w:val="24"/>
          <w:szCs w:val="24"/>
        </w:rPr>
        <w:t>小型和微型企业、</w:t>
      </w:r>
      <w:r>
        <w:rPr>
          <w:rFonts w:ascii="宋体" w:hAnsi="宋体"/>
          <w:sz w:val="24"/>
          <w:szCs w:val="24"/>
        </w:rPr>
        <w:t>残疾人福利性单位的，</w:t>
      </w:r>
      <w:r>
        <w:rPr>
          <w:rFonts w:hint="eastAsia" w:ascii="宋体" w:hAnsi="宋体"/>
          <w:sz w:val="24"/>
          <w:szCs w:val="24"/>
        </w:rPr>
        <w:t>将在</w:t>
      </w:r>
      <w:r>
        <w:rPr>
          <w:rFonts w:ascii="宋体" w:hAnsi="宋体"/>
          <w:sz w:val="24"/>
          <w:szCs w:val="24"/>
        </w:rPr>
        <w:t>中标结果公告</w:t>
      </w:r>
      <w:r>
        <w:rPr>
          <w:rFonts w:hint="eastAsia" w:ascii="宋体" w:hAnsi="宋体"/>
          <w:sz w:val="24"/>
          <w:szCs w:val="24"/>
        </w:rPr>
        <w:t>的同时公告</w:t>
      </w:r>
      <w:r>
        <w:rPr>
          <w:rFonts w:ascii="宋体" w:hAnsi="宋体"/>
          <w:sz w:val="24"/>
          <w:szCs w:val="24"/>
        </w:rPr>
        <w:t>其</w:t>
      </w:r>
      <w:r>
        <w:rPr>
          <w:rFonts w:hint="eastAsia" w:ascii="宋体" w:hAnsi="宋体"/>
          <w:sz w:val="24"/>
          <w:szCs w:val="24"/>
        </w:rPr>
        <w:t>《中小企业声明函》、</w:t>
      </w:r>
      <w:r>
        <w:rPr>
          <w:rFonts w:ascii="宋体" w:hAnsi="宋体"/>
          <w:sz w:val="24"/>
          <w:szCs w:val="24"/>
        </w:rPr>
        <w:t>《残疾人福利性单位声明函》，接受社会监督。</w:t>
      </w:r>
      <w:r>
        <w:rPr>
          <w:rFonts w:hint="eastAsia" w:ascii="宋体" w:hAnsi="宋体"/>
          <w:sz w:val="24"/>
          <w:szCs w:val="24"/>
        </w:rPr>
        <w:t>优先采购节能环保产品（注：所采购的货物在政府采购节能产品、环境标志产品实施品目清单范围内，且具有国家确定的认证机构出具的、处于有效期之内的节能产品、环境标志产品认证证书，否则在评审时将不给予加分）。供应商所投产品中，如有符合政策的节能环保产品的，对节能环保产品在评审时给予适当加分。</w:t>
      </w:r>
    </w:p>
    <w:p>
      <w:pPr>
        <w:spacing w:line="380" w:lineRule="exact"/>
        <w:ind w:firstLine="480" w:firstLineChars="200"/>
        <w:rPr>
          <w:rFonts w:ascii="宋体" w:hAnsi="宋体"/>
          <w:sz w:val="24"/>
          <w:szCs w:val="24"/>
        </w:rPr>
      </w:pPr>
      <w:r>
        <w:rPr>
          <w:rFonts w:hint="eastAsia" w:ascii="宋体" w:hAnsi="宋体"/>
          <w:sz w:val="24"/>
          <w:szCs w:val="24"/>
        </w:rPr>
        <w:t>3.本项目的特定资格要求：</w:t>
      </w:r>
    </w:p>
    <w:p>
      <w:pPr>
        <w:spacing w:line="380" w:lineRule="exact"/>
        <w:ind w:firstLine="480" w:firstLineChars="200"/>
        <w:rPr>
          <w:color w:val="000000"/>
          <w:sz w:val="24"/>
          <w:szCs w:val="24"/>
        </w:rPr>
      </w:pPr>
      <w:r>
        <w:rPr>
          <w:rFonts w:hint="eastAsia" w:ascii="宋体" w:hAnsi="宋体"/>
          <w:sz w:val="24"/>
          <w:szCs w:val="24"/>
        </w:rPr>
        <w:t>（1）</w:t>
      </w:r>
      <w:r>
        <w:rPr>
          <w:rFonts w:hint="eastAsia"/>
          <w:color w:val="000000"/>
          <w:sz w:val="24"/>
          <w:szCs w:val="24"/>
        </w:rPr>
        <w:t>投标人未列入失信被执行人、重大税收违法案件当事人名单、政府采购严重违法失信行为记录名单；</w:t>
      </w:r>
    </w:p>
    <w:p>
      <w:pPr>
        <w:spacing w:line="380" w:lineRule="exact"/>
        <w:ind w:firstLine="480" w:firstLineChars="200"/>
        <w:rPr>
          <w:color w:val="000000"/>
          <w:sz w:val="24"/>
          <w:szCs w:val="24"/>
        </w:rPr>
      </w:pPr>
      <w:r>
        <w:rPr>
          <w:rFonts w:hint="eastAsia" w:ascii="宋体" w:hAnsi="宋体"/>
          <w:sz w:val="24"/>
          <w:szCs w:val="24"/>
        </w:rPr>
        <w:t>（2）</w:t>
      </w:r>
      <w:r>
        <w:rPr>
          <w:rFonts w:hint="eastAsia"/>
          <w:color w:val="000000"/>
          <w:sz w:val="24"/>
          <w:szCs w:val="24"/>
        </w:rPr>
        <w:t>本次招标不接受联合体投标</w:t>
      </w:r>
      <w:r>
        <w:rPr>
          <w:rFonts w:hint="eastAsia"/>
          <w:sz w:val="24"/>
          <w:szCs w:val="24"/>
        </w:rPr>
        <w:t>。</w:t>
      </w:r>
    </w:p>
    <w:p>
      <w:pPr>
        <w:spacing w:line="380" w:lineRule="exact"/>
        <w:rPr>
          <w:b/>
        </w:rPr>
      </w:pPr>
      <w:bookmarkStart w:id="11" w:name="_Toc35393623"/>
      <w:bookmarkStart w:id="12" w:name="_Toc35393792"/>
      <w:r>
        <w:rPr>
          <w:rFonts w:hint="eastAsia"/>
          <w:b/>
        </w:rPr>
        <w:t>三、获取招标文件</w:t>
      </w:r>
      <w:bookmarkEnd w:id="9"/>
      <w:bookmarkEnd w:id="10"/>
      <w:bookmarkEnd w:id="11"/>
      <w:bookmarkEnd w:id="12"/>
    </w:p>
    <w:p>
      <w:pPr>
        <w:spacing w:line="380" w:lineRule="exact"/>
        <w:ind w:firstLine="540"/>
        <w:rPr>
          <w:rFonts w:ascii="宋体" w:hAnsi="宋体" w:cs="宋体"/>
          <w:sz w:val="24"/>
          <w:szCs w:val="24"/>
        </w:rPr>
      </w:pPr>
      <w:r>
        <w:rPr>
          <w:rFonts w:hint="eastAsia" w:ascii="宋体" w:hAnsi="宋体" w:cs="宋体"/>
          <w:sz w:val="24"/>
          <w:szCs w:val="24"/>
        </w:rPr>
        <w:t>时间：</w:t>
      </w:r>
      <w:r>
        <w:rPr>
          <w:rFonts w:hint="eastAsia" w:ascii="宋体" w:hAnsi="宋体" w:cs="宋体"/>
          <w:sz w:val="24"/>
          <w:szCs w:val="24"/>
          <w:u w:val="single"/>
        </w:rPr>
        <w:t>202</w:t>
      </w:r>
      <w:r>
        <w:rPr>
          <w:rFonts w:ascii="宋体" w:hAnsi="宋体" w:cs="宋体"/>
          <w:sz w:val="24"/>
          <w:szCs w:val="24"/>
          <w:u w:val="single"/>
        </w:rPr>
        <w:t>1</w:t>
      </w:r>
      <w:r>
        <w:rPr>
          <w:rFonts w:hint="eastAsia" w:ascii="宋体" w:hAnsi="宋体" w:cs="宋体"/>
          <w:sz w:val="24"/>
          <w:szCs w:val="24"/>
          <w:u w:val="single"/>
        </w:rPr>
        <w:t>年</w:t>
      </w:r>
      <w:r>
        <w:rPr>
          <w:rFonts w:hint="eastAsia" w:ascii="宋体" w:hAnsi="宋体" w:cs="宋体"/>
          <w:sz w:val="24"/>
          <w:szCs w:val="24"/>
          <w:u w:val="single"/>
          <w:lang w:val="en-US" w:eastAsia="zh-CN"/>
        </w:rPr>
        <w:t>09</w:t>
      </w:r>
      <w:r>
        <w:rPr>
          <w:rFonts w:hint="eastAsia" w:ascii="宋体" w:hAnsi="宋体" w:cs="宋体"/>
          <w:sz w:val="24"/>
          <w:szCs w:val="24"/>
          <w:u w:val="single"/>
        </w:rPr>
        <w:t>月</w:t>
      </w:r>
      <w:r>
        <w:rPr>
          <w:rFonts w:hint="eastAsia" w:ascii="宋体" w:hAnsi="宋体" w:cs="宋体"/>
          <w:sz w:val="24"/>
          <w:szCs w:val="24"/>
          <w:u w:val="single"/>
          <w:lang w:val="en-US" w:eastAsia="zh-CN"/>
        </w:rPr>
        <w:t>27</w:t>
      </w:r>
      <w:r>
        <w:rPr>
          <w:rFonts w:hint="eastAsia" w:ascii="宋体" w:hAnsi="宋体" w:cs="宋体"/>
          <w:sz w:val="24"/>
          <w:szCs w:val="24"/>
          <w:u w:val="single"/>
        </w:rPr>
        <w:t>日</w:t>
      </w:r>
      <w:r>
        <w:rPr>
          <w:rFonts w:hint="eastAsia" w:ascii="宋体" w:hAnsi="宋体" w:cs="宋体"/>
          <w:sz w:val="24"/>
          <w:szCs w:val="24"/>
        </w:rPr>
        <w:t>至</w:t>
      </w:r>
      <w:r>
        <w:rPr>
          <w:rFonts w:hint="eastAsia" w:ascii="宋体" w:hAnsi="宋体" w:cs="宋体"/>
          <w:sz w:val="24"/>
          <w:szCs w:val="24"/>
          <w:u w:val="single"/>
        </w:rPr>
        <w:t>202</w:t>
      </w:r>
      <w:r>
        <w:rPr>
          <w:rFonts w:ascii="宋体" w:hAnsi="宋体" w:cs="宋体"/>
          <w:sz w:val="24"/>
          <w:szCs w:val="24"/>
          <w:u w:val="single"/>
        </w:rPr>
        <w:t>1</w:t>
      </w:r>
      <w:r>
        <w:rPr>
          <w:rFonts w:hint="eastAsia" w:ascii="宋体" w:hAnsi="宋体" w:cs="宋体"/>
          <w:sz w:val="24"/>
          <w:szCs w:val="24"/>
          <w:u w:val="single"/>
        </w:rPr>
        <w:t>年</w:t>
      </w:r>
      <w:r>
        <w:rPr>
          <w:rFonts w:hint="eastAsia" w:ascii="宋体" w:hAnsi="宋体" w:cs="宋体"/>
          <w:sz w:val="24"/>
          <w:szCs w:val="24"/>
          <w:u w:val="single"/>
          <w:lang w:val="en-US" w:eastAsia="zh-CN"/>
        </w:rPr>
        <w:t>10</w:t>
      </w:r>
      <w:r>
        <w:rPr>
          <w:rFonts w:hint="eastAsia" w:ascii="宋体" w:hAnsi="宋体" w:cs="宋体"/>
          <w:sz w:val="24"/>
          <w:szCs w:val="24"/>
          <w:u w:val="single"/>
        </w:rPr>
        <w:t>月</w:t>
      </w:r>
      <w:r>
        <w:rPr>
          <w:rFonts w:hint="eastAsia" w:ascii="宋体" w:hAnsi="宋体" w:cs="宋体"/>
          <w:sz w:val="24"/>
          <w:szCs w:val="24"/>
          <w:u w:val="single"/>
          <w:lang w:val="en-US" w:eastAsia="zh-CN"/>
        </w:rPr>
        <w:t>9</w:t>
      </w:r>
      <w:r>
        <w:rPr>
          <w:rFonts w:hint="eastAsia" w:ascii="宋体" w:hAnsi="宋体" w:cs="宋体"/>
          <w:sz w:val="24"/>
          <w:szCs w:val="24"/>
          <w:u w:val="single"/>
        </w:rPr>
        <w:t>日</w:t>
      </w:r>
      <w:r>
        <w:rPr>
          <w:rFonts w:hint="eastAsia" w:ascii="宋体" w:hAnsi="宋体" w:cs="宋体"/>
          <w:sz w:val="24"/>
          <w:szCs w:val="24"/>
        </w:rPr>
        <w:t>，每天上午</w:t>
      </w:r>
      <w:r>
        <w:rPr>
          <w:rFonts w:hint="eastAsia" w:hAnsi="宋体" w:cs="MingLiU_HKSCS"/>
          <w:bCs/>
          <w:sz w:val="24"/>
          <w:szCs w:val="24"/>
        </w:rPr>
        <w:t>9:00-11:30</w:t>
      </w:r>
      <w:r>
        <w:rPr>
          <w:rFonts w:hint="eastAsia" w:ascii="宋体" w:hAnsi="宋体" w:cs="宋体"/>
          <w:sz w:val="24"/>
          <w:szCs w:val="24"/>
        </w:rPr>
        <w:t>，下午</w:t>
      </w:r>
      <w:r>
        <w:rPr>
          <w:rFonts w:hint="eastAsia" w:hAnsi="宋体" w:cs="MingLiU_HKSCS"/>
          <w:bCs/>
          <w:sz w:val="24"/>
          <w:szCs w:val="24"/>
        </w:rPr>
        <w:t>1:00-4:30</w:t>
      </w:r>
      <w:r>
        <w:rPr>
          <w:rFonts w:hint="eastAsia" w:ascii="宋体" w:hAnsi="宋体" w:cs="宋体"/>
          <w:sz w:val="24"/>
          <w:szCs w:val="24"/>
        </w:rPr>
        <w:t>（北京时间，</w:t>
      </w:r>
      <w:r>
        <w:rPr>
          <w:rFonts w:ascii="宋体" w:hAnsi="宋体" w:cs="宋体"/>
          <w:sz w:val="24"/>
          <w:szCs w:val="24"/>
        </w:rPr>
        <w:t>法定节假日</w:t>
      </w:r>
      <w:r>
        <w:rPr>
          <w:rFonts w:hint="eastAsia" w:ascii="宋体" w:hAnsi="宋体" w:cs="宋体"/>
          <w:sz w:val="24"/>
          <w:szCs w:val="24"/>
        </w:rPr>
        <w:t>除外）</w:t>
      </w:r>
    </w:p>
    <w:p>
      <w:pPr>
        <w:spacing w:line="380" w:lineRule="exact"/>
        <w:ind w:firstLine="540"/>
        <w:rPr>
          <w:rFonts w:ascii="宋体" w:hAnsi="宋体" w:cs="宋体"/>
          <w:sz w:val="24"/>
          <w:szCs w:val="24"/>
          <w:u w:val="single"/>
        </w:rPr>
      </w:pPr>
      <w:r>
        <w:rPr>
          <w:rFonts w:hint="eastAsia" w:ascii="宋体" w:hAnsi="宋体" w:cs="宋体"/>
          <w:sz w:val="24"/>
          <w:szCs w:val="24"/>
        </w:rPr>
        <w:t>地点：</w:t>
      </w:r>
      <w:r>
        <w:rPr>
          <w:rFonts w:hint="eastAsia" w:hAnsi="宋体"/>
          <w:sz w:val="24"/>
          <w:szCs w:val="24"/>
        </w:rPr>
        <w:t>根据北京市应急</w:t>
      </w:r>
      <w:r>
        <w:rPr>
          <w:rFonts w:hAnsi="宋体"/>
          <w:sz w:val="24"/>
          <w:szCs w:val="24"/>
        </w:rPr>
        <w:t>响应</w:t>
      </w:r>
      <w:r>
        <w:rPr>
          <w:rFonts w:hint="eastAsia" w:hAnsi="宋体"/>
          <w:sz w:val="24"/>
          <w:szCs w:val="24"/>
        </w:rPr>
        <w:t>号召</w:t>
      </w:r>
      <w:r>
        <w:rPr>
          <w:rFonts w:hAnsi="宋体"/>
          <w:sz w:val="24"/>
          <w:szCs w:val="24"/>
        </w:rPr>
        <w:t>，</w:t>
      </w:r>
      <w:r>
        <w:rPr>
          <w:rFonts w:hint="eastAsia" w:hAnsi="宋体"/>
          <w:sz w:val="24"/>
          <w:szCs w:val="24"/>
        </w:rPr>
        <w:t>尽量</w:t>
      </w:r>
      <w:r>
        <w:rPr>
          <w:rFonts w:hAnsi="宋体"/>
          <w:sz w:val="24"/>
          <w:szCs w:val="24"/>
        </w:rPr>
        <w:t>避免人员</w:t>
      </w:r>
      <w:r>
        <w:rPr>
          <w:rFonts w:hint="eastAsia" w:hAnsi="宋体"/>
          <w:sz w:val="24"/>
          <w:szCs w:val="24"/>
        </w:rPr>
        <w:t>聚</w:t>
      </w:r>
      <w:r>
        <w:rPr>
          <w:rFonts w:hAnsi="宋体"/>
          <w:sz w:val="24"/>
          <w:szCs w:val="24"/>
        </w:rPr>
        <w:t>集性活动</w:t>
      </w:r>
      <w:r>
        <w:rPr>
          <w:rFonts w:hint="eastAsia" w:hAnsi="宋体"/>
          <w:sz w:val="24"/>
          <w:szCs w:val="24"/>
        </w:rPr>
        <w:t>，本项目不进行现场出售标书，仅通过</w:t>
      </w:r>
      <w:r>
        <w:rPr>
          <w:rFonts w:hint="eastAsia" w:hAnsi="宋体"/>
          <w:b/>
          <w:sz w:val="24"/>
          <w:szCs w:val="24"/>
        </w:rPr>
        <w:t>公对公账户转账</w:t>
      </w:r>
      <w:r>
        <w:rPr>
          <w:rFonts w:hint="eastAsia" w:hAnsi="宋体"/>
          <w:sz w:val="24"/>
          <w:szCs w:val="24"/>
        </w:rPr>
        <w:t>进行网上购买（不接受个人汇款）。</w:t>
      </w:r>
    </w:p>
    <w:p>
      <w:pPr>
        <w:spacing w:line="380" w:lineRule="exact"/>
        <w:ind w:firstLine="540"/>
        <w:rPr>
          <w:rFonts w:hAnsi="宋体"/>
          <w:sz w:val="24"/>
          <w:szCs w:val="24"/>
        </w:rPr>
      </w:pPr>
      <w:r>
        <w:rPr>
          <w:rFonts w:hint="eastAsia" w:ascii="宋体" w:hAnsi="宋体" w:cs="宋体"/>
          <w:sz w:val="24"/>
          <w:szCs w:val="24"/>
        </w:rPr>
        <w:t>方式：</w:t>
      </w:r>
      <w:r>
        <w:rPr>
          <w:rFonts w:hAnsi="宋体"/>
          <w:sz w:val="24"/>
          <w:szCs w:val="24"/>
        </w:rPr>
        <w:t>按</w:t>
      </w:r>
      <w:r>
        <w:rPr>
          <w:rFonts w:hint="eastAsia" w:hAnsi="宋体"/>
          <w:sz w:val="24"/>
          <w:szCs w:val="24"/>
        </w:rPr>
        <w:t>代理</w:t>
      </w:r>
      <w:r>
        <w:rPr>
          <w:rFonts w:hAnsi="宋体"/>
          <w:sz w:val="24"/>
          <w:szCs w:val="24"/>
        </w:rPr>
        <w:t>机构汇款信息汇款，汇款单上应注明汇款用途、所购招标编号，然后将购买招标文件</w:t>
      </w:r>
      <w:r>
        <w:rPr>
          <w:rFonts w:hAnsi="宋体"/>
          <w:b/>
          <w:sz w:val="24"/>
          <w:szCs w:val="24"/>
        </w:rPr>
        <w:t>须递交的文件</w:t>
      </w:r>
      <w:r>
        <w:rPr>
          <w:rFonts w:hint="eastAsia" w:hAnsi="宋体"/>
          <w:b/>
          <w:sz w:val="24"/>
          <w:szCs w:val="24"/>
        </w:rPr>
        <w:t>、具有</w:t>
      </w:r>
      <w:r>
        <w:rPr>
          <w:rFonts w:hAnsi="宋体"/>
          <w:b/>
          <w:sz w:val="24"/>
          <w:szCs w:val="24"/>
        </w:rPr>
        <w:t>银行章的汇款单复印件</w:t>
      </w:r>
      <w:r>
        <w:rPr>
          <w:rFonts w:hint="eastAsia" w:hAnsi="宋体"/>
          <w:sz w:val="24"/>
          <w:szCs w:val="24"/>
        </w:rPr>
        <w:t>发至</w:t>
      </w:r>
      <w:r>
        <w:rPr>
          <w:rFonts w:hAnsi="宋体"/>
          <w:sz w:val="24"/>
          <w:szCs w:val="24"/>
        </w:rPr>
        <w:t>招标代理</w:t>
      </w:r>
      <w:r>
        <w:rPr>
          <w:rFonts w:hint="eastAsia" w:hAnsi="宋体"/>
          <w:sz w:val="24"/>
          <w:szCs w:val="24"/>
        </w:rPr>
        <w:t>机构联系人邮箱</w:t>
      </w:r>
      <w:r>
        <w:rPr>
          <w:rFonts w:hAnsi="宋体"/>
          <w:sz w:val="24"/>
          <w:szCs w:val="24"/>
        </w:rPr>
        <w:t>，招标代理</w:t>
      </w:r>
      <w:r>
        <w:rPr>
          <w:rFonts w:hint="eastAsia" w:hAnsi="宋体"/>
          <w:sz w:val="24"/>
          <w:szCs w:val="24"/>
        </w:rPr>
        <w:t>机构</w:t>
      </w:r>
      <w:r>
        <w:rPr>
          <w:rFonts w:hAnsi="宋体"/>
          <w:sz w:val="24"/>
          <w:szCs w:val="24"/>
        </w:rPr>
        <w:t>收到</w:t>
      </w:r>
      <w:r>
        <w:rPr>
          <w:rFonts w:hint="eastAsia" w:hAnsi="宋体"/>
          <w:sz w:val="24"/>
          <w:szCs w:val="24"/>
        </w:rPr>
        <w:t>邮件</w:t>
      </w:r>
      <w:r>
        <w:rPr>
          <w:rFonts w:hAnsi="宋体"/>
          <w:sz w:val="24"/>
          <w:szCs w:val="24"/>
        </w:rPr>
        <w:t>后</w:t>
      </w:r>
      <w:r>
        <w:rPr>
          <w:rFonts w:hint="eastAsia" w:hAnsi="宋体"/>
          <w:sz w:val="24"/>
          <w:szCs w:val="24"/>
        </w:rPr>
        <w:t>，审核</w:t>
      </w:r>
      <w:r>
        <w:rPr>
          <w:rFonts w:hAnsi="宋体"/>
          <w:sz w:val="24"/>
          <w:szCs w:val="24"/>
        </w:rPr>
        <w:t>文件和到账情况</w:t>
      </w:r>
      <w:r>
        <w:rPr>
          <w:rFonts w:hint="eastAsia" w:hAnsi="宋体"/>
          <w:sz w:val="24"/>
          <w:szCs w:val="24"/>
        </w:rPr>
        <w:t>均符合</w:t>
      </w:r>
      <w:r>
        <w:rPr>
          <w:rFonts w:hAnsi="宋体"/>
          <w:sz w:val="24"/>
          <w:szCs w:val="24"/>
        </w:rPr>
        <w:t>要求</w:t>
      </w:r>
      <w:r>
        <w:rPr>
          <w:rFonts w:hint="eastAsia" w:hAnsi="宋体"/>
          <w:sz w:val="24"/>
          <w:szCs w:val="24"/>
        </w:rPr>
        <w:t>后</w:t>
      </w:r>
      <w:r>
        <w:rPr>
          <w:rFonts w:hAnsi="宋体"/>
          <w:sz w:val="24"/>
          <w:szCs w:val="24"/>
        </w:rPr>
        <w:t>将尽快以</w:t>
      </w:r>
      <w:r>
        <w:rPr>
          <w:rFonts w:hint="eastAsia" w:hAnsi="宋体"/>
          <w:sz w:val="24"/>
          <w:szCs w:val="24"/>
        </w:rPr>
        <w:t>邮件</w:t>
      </w:r>
      <w:r>
        <w:rPr>
          <w:rFonts w:hAnsi="宋体"/>
          <w:sz w:val="24"/>
          <w:szCs w:val="24"/>
        </w:rPr>
        <w:t>方式将招标文件</w:t>
      </w:r>
      <w:r>
        <w:rPr>
          <w:rFonts w:hint="eastAsia" w:hAnsi="宋体"/>
          <w:sz w:val="24"/>
          <w:szCs w:val="24"/>
        </w:rPr>
        <w:t>发送</w:t>
      </w:r>
      <w:r>
        <w:rPr>
          <w:rFonts w:hAnsi="宋体"/>
          <w:sz w:val="24"/>
          <w:szCs w:val="24"/>
        </w:rPr>
        <w:t>给购买单位。</w:t>
      </w:r>
    </w:p>
    <w:p>
      <w:pPr>
        <w:spacing w:line="380" w:lineRule="exact"/>
        <w:ind w:firstLine="540"/>
        <w:rPr>
          <w:rFonts w:hAnsi="宋体"/>
          <w:sz w:val="24"/>
          <w:szCs w:val="24"/>
        </w:rPr>
      </w:pPr>
      <w:r>
        <w:rPr>
          <w:rFonts w:hint="eastAsia" w:hAnsi="宋体"/>
          <w:sz w:val="24"/>
          <w:szCs w:val="24"/>
        </w:rPr>
        <w:t>报名邮箱：</w:t>
      </w:r>
      <w:r>
        <w:fldChar w:fldCharType="begin"/>
      </w:r>
      <w:r>
        <w:instrText xml:space="preserve"> HYPERLINK "mailto:wangjizhong@cnic.gt.cn" </w:instrText>
      </w:r>
      <w:r>
        <w:fldChar w:fldCharType="separate"/>
      </w:r>
      <w:r>
        <w:rPr>
          <w:rStyle w:val="5"/>
          <w:rFonts w:hint="eastAsia" w:ascii="’宋体’" w:hAnsi="’宋体’" w:eastAsia="’宋体’" w:cs="’宋体’"/>
          <w:szCs w:val="21"/>
        </w:rPr>
        <w:t>wangjizhong@cnic.gt.cn</w:t>
      </w:r>
      <w:r>
        <w:rPr>
          <w:rStyle w:val="5"/>
          <w:rFonts w:hint="eastAsia" w:ascii="’宋体’" w:hAnsi="’宋体’" w:eastAsia="’宋体’" w:cs="’宋体’"/>
          <w:szCs w:val="21"/>
        </w:rPr>
        <w:fldChar w:fldCharType="end"/>
      </w:r>
    </w:p>
    <w:p>
      <w:pPr>
        <w:pStyle w:val="7"/>
        <w:spacing w:line="380" w:lineRule="exact"/>
        <w:ind w:firstLine="480" w:firstLineChars="200"/>
        <w:rPr>
          <w:rFonts w:hAnsi="宋体"/>
          <w:bCs/>
          <w:sz w:val="24"/>
          <w:szCs w:val="24"/>
        </w:rPr>
      </w:pPr>
      <w:r>
        <w:rPr>
          <w:rFonts w:hAnsi="宋体"/>
          <w:bCs/>
          <w:sz w:val="24"/>
          <w:szCs w:val="24"/>
        </w:rPr>
        <w:t>购买招标文件须递交</w:t>
      </w:r>
      <w:r>
        <w:rPr>
          <w:rFonts w:hint="eastAsia" w:hAnsi="宋体"/>
          <w:bCs/>
          <w:sz w:val="24"/>
          <w:szCs w:val="24"/>
        </w:rPr>
        <w:t>以下</w:t>
      </w:r>
      <w:r>
        <w:rPr>
          <w:rFonts w:hAnsi="宋体"/>
          <w:bCs/>
          <w:sz w:val="24"/>
          <w:szCs w:val="24"/>
        </w:rPr>
        <w:t>文</w:t>
      </w:r>
      <w:r>
        <w:rPr>
          <w:rFonts w:hAnsi="宋体"/>
          <w:sz w:val="24"/>
          <w:szCs w:val="24"/>
        </w:rPr>
        <w:t>件</w:t>
      </w:r>
      <w:r>
        <w:rPr>
          <w:rFonts w:hint="eastAsia" w:hAnsi="宋体"/>
          <w:sz w:val="24"/>
          <w:szCs w:val="24"/>
        </w:rPr>
        <w:t>各1份（格式</w:t>
      </w:r>
      <w:r>
        <w:rPr>
          <w:rFonts w:hAnsi="宋体"/>
          <w:sz w:val="24"/>
          <w:szCs w:val="24"/>
        </w:rPr>
        <w:t>附后</w:t>
      </w:r>
      <w:r>
        <w:rPr>
          <w:rFonts w:hint="eastAsia" w:hAnsi="宋体"/>
          <w:sz w:val="24"/>
          <w:szCs w:val="24"/>
        </w:rPr>
        <w:t>），未递交的投标人将不予查阅和出售招标文件</w:t>
      </w:r>
      <w:r>
        <w:rPr>
          <w:rFonts w:hAnsi="宋体"/>
          <w:bCs/>
          <w:sz w:val="24"/>
          <w:szCs w:val="24"/>
        </w:rPr>
        <w:t>：</w:t>
      </w:r>
    </w:p>
    <w:p>
      <w:pPr>
        <w:spacing w:line="380" w:lineRule="exact"/>
        <w:ind w:firstLine="475" w:firstLineChars="198"/>
        <w:rPr>
          <w:sz w:val="24"/>
          <w:szCs w:val="24"/>
        </w:rPr>
      </w:pPr>
      <w:r>
        <w:rPr>
          <w:rFonts w:hint="eastAsia"/>
          <w:sz w:val="24"/>
          <w:szCs w:val="24"/>
        </w:rPr>
        <w:t>1）标书出售记录（加盖投标人公章的PDF版）</w:t>
      </w:r>
      <w:r>
        <w:rPr>
          <w:sz w:val="24"/>
          <w:szCs w:val="24"/>
        </w:rPr>
        <w:t>；</w:t>
      </w:r>
    </w:p>
    <w:p>
      <w:pPr>
        <w:spacing w:line="380" w:lineRule="exact"/>
        <w:ind w:firstLine="475" w:firstLineChars="198"/>
        <w:rPr>
          <w:rFonts w:cs="宋体" w:asciiTheme="minorEastAsia" w:hAnsiTheme="minorEastAsia" w:eastAsiaTheme="minorEastAsia"/>
          <w:sz w:val="24"/>
          <w:szCs w:val="24"/>
          <w:u w:val="single"/>
        </w:rPr>
      </w:pPr>
      <w:r>
        <w:rPr>
          <w:rFonts w:hint="eastAsia"/>
          <w:sz w:val="24"/>
          <w:szCs w:val="24"/>
        </w:rPr>
        <w:t>2）标书出售</w:t>
      </w:r>
      <w:r>
        <w:rPr>
          <w:sz w:val="24"/>
          <w:szCs w:val="24"/>
        </w:rPr>
        <w:t>记录（</w:t>
      </w:r>
      <w:r>
        <w:rPr>
          <w:rFonts w:hint="eastAsia"/>
          <w:sz w:val="24"/>
          <w:szCs w:val="24"/>
        </w:rPr>
        <w:t>WORD可</w:t>
      </w:r>
      <w:r>
        <w:rPr>
          <w:sz w:val="24"/>
          <w:szCs w:val="24"/>
        </w:rPr>
        <w:t>编辑版）</w:t>
      </w:r>
      <w:r>
        <w:rPr>
          <w:rFonts w:hint="eastAsia"/>
          <w:sz w:val="24"/>
          <w:szCs w:val="24"/>
        </w:rPr>
        <w:t>。</w:t>
      </w:r>
    </w:p>
    <w:p>
      <w:pPr>
        <w:spacing w:line="380" w:lineRule="exact"/>
        <w:ind w:firstLine="540"/>
        <w:rPr>
          <w:rFonts w:ascii="宋体" w:hAnsi="宋体" w:cs="宋体"/>
          <w:sz w:val="24"/>
          <w:szCs w:val="24"/>
        </w:rPr>
      </w:pPr>
      <w:r>
        <w:rPr>
          <w:rFonts w:hint="eastAsia" w:cs="宋体" w:asciiTheme="minorEastAsia" w:hAnsiTheme="minorEastAsia" w:eastAsiaTheme="minorEastAsia"/>
          <w:sz w:val="24"/>
          <w:szCs w:val="24"/>
        </w:rPr>
        <w:t>售价：</w:t>
      </w:r>
      <w:r>
        <w:rPr>
          <w:rFonts w:hAnsi="宋体" w:eastAsiaTheme="minorEastAsia"/>
          <w:sz w:val="24"/>
          <w:szCs w:val="24"/>
        </w:rPr>
        <w:t>60</w:t>
      </w:r>
      <w:r>
        <w:rPr>
          <w:rFonts w:hAnsi="宋体"/>
          <w:sz w:val="24"/>
          <w:szCs w:val="24"/>
        </w:rPr>
        <w:t>0</w:t>
      </w:r>
      <w:r>
        <w:rPr>
          <w:rFonts w:hint="eastAsia" w:hAnsi="宋体"/>
          <w:sz w:val="24"/>
          <w:szCs w:val="24"/>
        </w:rPr>
        <w:t>元/本</w:t>
      </w:r>
      <w:r>
        <w:rPr>
          <w:rFonts w:hint="eastAsia" w:hAnsi="宋体" w:cs="宋体"/>
          <w:sz w:val="24"/>
          <w:szCs w:val="24"/>
        </w:rPr>
        <w:t>，招标文件售后不退。只有购买了招标文件的投标人才有资格参与投标。</w:t>
      </w:r>
    </w:p>
    <w:p>
      <w:pPr>
        <w:spacing w:line="380" w:lineRule="exact"/>
        <w:rPr>
          <w:b/>
        </w:rPr>
      </w:pPr>
      <w:bookmarkStart w:id="13" w:name="_Toc28359082"/>
      <w:bookmarkStart w:id="14" w:name="_Toc28359005"/>
      <w:bookmarkStart w:id="15" w:name="_Toc35393793"/>
      <w:bookmarkStart w:id="16" w:name="_Toc35393624"/>
      <w:r>
        <w:rPr>
          <w:rFonts w:hint="eastAsia"/>
          <w:b/>
        </w:rPr>
        <w:t>四、提交投标文件</w:t>
      </w:r>
      <w:bookmarkEnd w:id="13"/>
      <w:bookmarkEnd w:id="14"/>
      <w:r>
        <w:rPr>
          <w:rFonts w:hint="eastAsia"/>
          <w:b/>
        </w:rPr>
        <w:t>截止时间、开标时间和地点</w:t>
      </w:r>
      <w:bookmarkEnd w:id="15"/>
      <w:bookmarkEnd w:id="16"/>
    </w:p>
    <w:p>
      <w:pPr>
        <w:pStyle w:val="7"/>
        <w:spacing w:line="380" w:lineRule="exact"/>
        <w:ind w:firstLine="480" w:firstLineChars="200"/>
        <w:rPr>
          <w:rFonts w:hAnsi="宋体"/>
          <w:bCs/>
          <w:sz w:val="24"/>
          <w:szCs w:val="24"/>
        </w:rPr>
      </w:pPr>
      <w:r>
        <w:rPr>
          <w:rFonts w:hint="eastAsia" w:hAnsi="宋体"/>
          <w:bCs/>
          <w:sz w:val="24"/>
          <w:szCs w:val="24"/>
        </w:rPr>
        <w:t>202</w:t>
      </w:r>
      <w:r>
        <w:rPr>
          <w:rFonts w:hAnsi="宋体"/>
          <w:bCs/>
          <w:sz w:val="24"/>
          <w:szCs w:val="24"/>
        </w:rPr>
        <w:t>1</w:t>
      </w:r>
      <w:r>
        <w:rPr>
          <w:rFonts w:hint="eastAsia" w:hAnsi="宋体"/>
          <w:bCs/>
          <w:sz w:val="24"/>
          <w:szCs w:val="24"/>
        </w:rPr>
        <w:t>年</w:t>
      </w:r>
      <w:r>
        <w:rPr>
          <w:rFonts w:hint="eastAsia" w:hAnsi="宋体"/>
          <w:bCs/>
          <w:sz w:val="24"/>
          <w:szCs w:val="24"/>
          <w:lang w:val="en-US" w:eastAsia="zh-CN"/>
        </w:rPr>
        <w:t>10</w:t>
      </w:r>
      <w:r>
        <w:rPr>
          <w:rFonts w:hint="eastAsia" w:hAnsi="宋体"/>
          <w:bCs/>
          <w:sz w:val="24"/>
          <w:szCs w:val="24"/>
        </w:rPr>
        <w:t>月</w:t>
      </w:r>
      <w:r>
        <w:rPr>
          <w:rFonts w:hint="eastAsia" w:hAnsi="宋体"/>
          <w:bCs/>
          <w:sz w:val="24"/>
          <w:szCs w:val="24"/>
          <w:lang w:val="en-US" w:eastAsia="zh-CN"/>
        </w:rPr>
        <w:t>19</w:t>
      </w:r>
      <w:r>
        <w:rPr>
          <w:rFonts w:hint="eastAsia" w:hAnsi="宋体"/>
          <w:bCs/>
          <w:sz w:val="24"/>
          <w:szCs w:val="24"/>
        </w:rPr>
        <w:t>日</w:t>
      </w:r>
      <w:r>
        <w:rPr>
          <w:rFonts w:hint="eastAsia" w:hAnsi="宋体"/>
          <w:bCs/>
          <w:sz w:val="24"/>
          <w:szCs w:val="24"/>
          <w:lang w:val="en-US" w:eastAsia="zh-CN"/>
        </w:rPr>
        <w:t>09</w:t>
      </w:r>
      <w:r>
        <w:rPr>
          <w:rFonts w:hint="eastAsia" w:hAnsi="宋体"/>
          <w:bCs/>
          <w:sz w:val="24"/>
          <w:szCs w:val="24"/>
        </w:rPr>
        <w:t>时</w:t>
      </w:r>
      <w:r>
        <w:rPr>
          <w:rFonts w:hint="eastAsia" w:hAnsi="宋体"/>
          <w:bCs/>
          <w:sz w:val="24"/>
          <w:szCs w:val="24"/>
          <w:lang w:val="en-US" w:eastAsia="zh-CN"/>
        </w:rPr>
        <w:t>30</w:t>
      </w:r>
      <w:r>
        <w:rPr>
          <w:rFonts w:hint="eastAsia" w:hAnsi="宋体"/>
          <w:bCs/>
          <w:sz w:val="24"/>
          <w:szCs w:val="24"/>
        </w:rPr>
        <w:t>分整（北京时间）</w:t>
      </w:r>
    </w:p>
    <w:p>
      <w:pPr>
        <w:pStyle w:val="7"/>
        <w:spacing w:line="380" w:lineRule="exact"/>
        <w:ind w:firstLine="480" w:firstLineChars="200"/>
        <w:rPr>
          <w:rFonts w:hAnsi="宋体"/>
          <w:bCs/>
          <w:sz w:val="24"/>
          <w:szCs w:val="24"/>
        </w:rPr>
      </w:pPr>
      <w:r>
        <w:rPr>
          <w:rFonts w:hint="eastAsia" w:hAnsi="宋体"/>
          <w:bCs/>
          <w:sz w:val="24"/>
          <w:szCs w:val="24"/>
        </w:rPr>
        <w:t>地点：北京市西直门外大街6号中仪大厦</w:t>
      </w:r>
      <w:r>
        <w:rPr>
          <w:rFonts w:hAnsi="宋体"/>
          <w:bCs/>
          <w:sz w:val="24"/>
          <w:szCs w:val="24"/>
        </w:rPr>
        <w:t xml:space="preserve"> </w:t>
      </w:r>
      <w:r>
        <w:rPr>
          <w:rFonts w:hint="eastAsia" w:hAnsi="宋体"/>
          <w:bCs/>
          <w:sz w:val="24"/>
          <w:szCs w:val="24"/>
          <w:lang w:val="en-US" w:eastAsia="zh-CN"/>
        </w:rPr>
        <w:t>6</w:t>
      </w:r>
      <w:r>
        <w:rPr>
          <w:rFonts w:hint="eastAsia" w:hAnsi="宋体"/>
          <w:bCs/>
          <w:sz w:val="24"/>
          <w:szCs w:val="24"/>
        </w:rPr>
        <w:t>层</w:t>
      </w:r>
      <w:r>
        <w:rPr>
          <w:rFonts w:hint="eastAsia" w:hAnsi="宋体"/>
          <w:bCs/>
          <w:sz w:val="24"/>
          <w:szCs w:val="24"/>
          <w:lang w:val="en-US" w:eastAsia="zh-CN"/>
        </w:rPr>
        <w:t>616</w:t>
      </w:r>
      <w:r>
        <w:rPr>
          <w:rFonts w:hint="eastAsia" w:hAnsi="宋体"/>
          <w:bCs/>
          <w:sz w:val="24"/>
          <w:szCs w:val="24"/>
        </w:rPr>
        <w:t>会议室。届时请投标人的法定代表人或其授权的投标人代表出席开标仪式。</w:t>
      </w:r>
    </w:p>
    <w:p>
      <w:pPr>
        <w:spacing w:line="380" w:lineRule="exact"/>
        <w:rPr>
          <w:b/>
        </w:rPr>
      </w:pPr>
      <w:bookmarkStart w:id="17" w:name="_Toc28359084"/>
      <w:bookmarkStart w:id="18" w:name="_Toc35393794"/>
      <w:bookmarkStart w:id="19" w:name="_Toc35393625"/>
      <w:bookmarkStart w:id="20" w:name="_Toc28359007"/>
      <w:r>
        <w:rPr>
          <w:rFonts w:hint="eastAsia"/>
          <w:b/>
        </w:rPr>
        <w:t>五、公告期限</w:t>
      </w:r>
      <w:bookmarkEnd w:id="17"/>
      <w:bookmarkEnd w:id="18"/>
      <w:bookmarkEnd w:id="19"/>
      <w:bookmarkEnd w:id="20"/>
    </w:p>
    <w:p>
      <w:pPr>
        <w:spacing w:line="38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spacing w:line="380" w:lineRule="exact"/>
        <w:rPr>
          <w:b/>
        </w:rPr>
      </w:pPr>
      <w:bookmarkStart w:id="21" w:name="_Toc35393795"/>
      <w:bookmarkStart w:id="22" w:name="_Toc35393626"/>
      <w:r>
        <w:rPr>
          <w:rFonts w:hint="eastAsia"/>
          <w:b/>
        </w:rPr>
        <w:t>六</w:t>
      </w:r>
      <w:r>
        <w:rPr>
          <w:b/>
        </w:rPr>
        <w:t>、</w:t>
      </w:r>
      <w:r>
        <w:rPr>
          <w:rFonts w:hint="eastAsia"/>
          <w:b/>
        </w:rPr>
        <w:t>其他补充事宜</w:t>
      </w:r>
      <w:bookmarkEnd w:id="21"/>
      <w:bookmarkEnd w:id="22"/>
    </w:p>
    <w:p>
      <w:pPr>
        <w:pStyle w:val="7"/>
        <w:spacing w:line="380" w:lineRule="exact"/>
        <w:ind w:firstLine="480" w:firstLineChars="200"/>
        <w:rPr>
          <w:rFonts w:hAnsi="宋体"/>
          <w:sz w:val="24"/>
          <w:szCs w:val="24"/>
        </w:rPr>
      </w:pPr>
      <w:r>
        <w:rPr>
          <w:rFonts w:hAnsi="宋体"/>
          <w:sz w:val="24"/>
          <w:szCs w:val="24"/>
        </w:rPr>
        <w:t>投标注意事项</w:t>
      </w:r>
      <w:r>
        <w:rPr>
          <w:rFonts w:hint="eastAsia" w:hAnsi="宋体"/>
          <w:sz w:val="24"/>
          <w:szCs w:val="24"/>
        </w:rPr>
        <w:t>：</w:t>
      </w:r>
    </w:p>
    <w:p>
      <w:pPr>
        <w:pStyle w:val="8"/>
        <w:spacing w:line="380" w:lineRule="exact"/>
        <w:ind w:left="1" w:firstLine="472" w:firstLineChars="197"/>
        <w:rPr>
          <w:sz w:val="24"/>
          <w:szCs w:val="24"/>
        </w:rPr>
      </w:pPr>
      <w:r>
        <w:rPr>
          <w:rFonts w:hint="eastAsia"/>
          <w:sz w:val="24"/>
          <w:szCs w:val="24"/>
        </w:rPr>
        <w:t>1）</w:t>
      </w:r>
      <w:r>
        <w:rPr>
          <w:sz w:val="24"/>
          <w:szCs w:val="24"/>
        </w:rPr>
        <w:t>仅投标人授权代表1人可进入大厦参与投标和开标活动，请授权代表</w:t>
      </w:r>
      <w:r>
        <w:rPr>
          <w:rFonts w:hint="eastAsia"/>
          <w:sz w:val="24"/>
          <w:szCs w:val="24"/>
        </w:rPr>
        <w:t>携带</w:t>
      </w:r>
      <w:r>
        <w:rPr>
          <w:sz w:val="24"/>
          <w:szCs w:val="24"/>
        </w:rPr>
        <w:t>身份证件和佩戴口罩进入大厦，并保证无</w:t>
      </w:r>
      <w:r>
        <w:rPr>
          <w:rFonts w:hint="eastAsia"/>
          <w:sz w:val="24"/>
          <w:szCs w:val="24"/>
        </w:rPr>
        <w:t>高风险</w:t>
      </w:r>
      <w:r>
        <w:rPr>
          <w:sz w:val="24"/>
          <w:szCs w:val="24"/>
        </w:rPr>
        <w:t>地区来京人员</w:t>
      </w:r>
      <w:r>
        <w:rPr>
          <w:rFonts w:hint="eastAsia"/>
          <w:sz w:val="24"/>
          <w:szCs w:val="24"/>
        </w:rPr>
        <w:t>（如</w:t>
      </w:r>
      <w:r>
        <w:rPr>
          <w:sz w:val="24"/>
          <w:szCs w:val="24"/>
        </w:rPr>
        <w:t>为高风险地区来京人员已完成14天隔离期</w:t>
      </w:r>
      <w:r>
        <w:rPr>
          <w:rFonts w:hint="eastAsia"/>
          <w:sz w:val="24"/>
          <w:szCs w:val="24"/>
        </w:rPr>
        <w:t>）</w:t>
      </w:r>
      <w:r>
        <w:rPr>
          <w:sz w:val="24"/>
          <w:szCs w:val="24"/>
        </w:rPr>
        <w:t>。</w:t>
      </w:r>
    </w:p>
    <w:p>
      <w:pPr>
        <w:pStyle w:val="8"/>
        <w:spacing w:line="380" w:lineRule="exact"/>
        <w:rPr>
          <w:sz w:val="24"/>
          <w:szCs w:val="24"/>
        </w:rPr>
      </w:pPr>
      <w:r>
        <w:rPr>
          <w:sz w:val="24"/>
          <w:szCs w:val="24"/>
        </w:rPr>
        <w:t>2</w:t>
      </w:r>
      <w:r>
        <w:rPr>
          <w:rFonts w:hint="eastAsia"/>
          <w:sz w:val="24"/>
          <w:szCs w:val="24"/>
        </w:rPr>
        <w:t>）</w:t>
      </w:r>
      <w:r>
        <w:rPr>
          <w:sz w:val="24"/>
          <w:szCs w:val="24"/>
        </w:rPr>
        <w:t>请授权代表提前关注微信公众号“北京市健康宝”-进入公众号-注册个人信息-进入大厦时向保安人员出示本人健康状态查询情况-未见异常-方可进入大厦。</w:t>
      </w:r>
    </w:p>
    <w:p>
      <w:pPr>
        <w:pStyle w:val="8"/>
        <w:spacing w:line="380" w:lineRule="exact"/>
        <w:ind w:left="1" w:firstLine="472" w:firstLineChars="197"/>
        <w:rPr>
          <w:rFonts w:ascii="宋体" w:hAnsi="宋体"/>
          <w:sz w:val="24"/>
          <w:szCs w:val="24"/>
        </w:rPr>
      </w:pPr>
      <w:r>
        <w:rPr>
          <w:rFonts w:hAnsi="宋体"/>
          <w:sz w:val="24"/>
          <w:szCs w:val="24"/>
        </w:rPr>
        <w:t>3</w:t>
      </w:r>
      <w:r>
        <w:rPr>
          <w:rFonts w:hint="eastAsia" w:hAnsi="宋体"/>
          <w:sz w:val="24"/>
          <w:szCs w:val="24"/>
        </w:rPr>
        <w:t>）</w:t>
      </w:r>
      <w:r>
        <w:rPr>
          <w:rFonts w:hAnsi="宋体"/>
          <w:sz w:val="24"/>
          <w:szCs w:val="24"/>
        </w:rPr>
        <w:t>请投标人代表至少提前半个小时到达投标地点（中仪大厦），以便有充足的时间进行各项登记手续。</w:t>
      </w:r>
    </w:p>
    <w:p>
      <w:pPr>
        <w:spacing w:line="380" w:lineRule="exact"/>
        <w:rPr>
          <w:b/>
        </w:rPr>
      </w:pPr>
      <w:bookmarkStart w:id="23" w:name="_Toc28359008"/>
      <w:bookmarkStart w:id="24" w:name="_Toc35393796"/>
      <w:bookmarkStart w:id="25" w:name="_Toc28359085"/>
      <w:bookmarkStart w:id="26" w:name="_Toc35393627"/>
      <w:r>
        <w:rPr>
          <w:rFonts w:hint="eastAsia"/>
          <w:b/>
        </w:rPr>
        <w:t>七、对本次招标提出询问，请按</w:t>
      </w:r>
      <w:r>
        <w:rPr>
          <w:b/>
        </w:rPr>
        <w:t>以下方式</w:t>
      </w:r>
      <w:r>
        <w:rPr>
          <w:rFonts w:hint="eastAsia"/>
          <w:b/>
        </w:rPr>
        <w:t>联系。</w:t>
      </w:r>
      <w:bookmarkEnd w:id="23"/>
      <w:bookmarkEnd w:id="24"/>
      <w:bookmarkEnd w:id="25"/>
      <w:bookmarkEnd w:id="26"/>
    </w:p>
    <w:p>
      <w:pPr>
        <w:widowControl/>
        <w:spacing w:line="380" w:lineRule="exact"/>
        <w:jc w:val="left"/>
        <w:rPr>
          <w:rFonts w:ascii="宋体" w:hAnsi="宋体"/>
          <w:sz w:val="24"/>
          <w:szCs w:val="24"/>
        </w:rPr>
      </w:pPr>
      <w:r>
        <w:rPr>
          <w:rFonts w:hint="eastAsia" w:ascii="宋体" w:hAnsi="宋体" w:cs="宋体"/>
          <w:sz w:val="24"/>
          <w:szCs w:val="24"/>
        </w:rPr>
        <w:t>　  1.采购人信息</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名 称：中国地质科学院地质研究所</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地 址：北京市西城区百万庄大街26号</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联系方式：</w:t>
      </w:r>
      <w:bookmarkStart w:id="27" w:name="_Toc28359086"/>
      <w:bookmarkStart w:id="28" w:name="_Toc28359009"/>
      <w:r>
        <w:rPr>
          <w:rFonts w:hint="eastAsia" w:ascii="宋体" w:hAnsi="宋体" w:cs="宋体"/>
          <w:sz w:val="24"/>
          <w:szCs w:val="24"/>
        </w:rPr>
        <w:t>李先生    电话：010-83413849</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2.采购代理机构信息</w:t>
      </w:r>
      <w:bookmarkEnd w:id="27"/>
      <w:bookmarkEnd w:id="28"/>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名 称：中国仪器进出口集团有限公司</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地 址：北京市西直门外大街6号，中仪大厦615房间</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联系方式：</w:t>
      </w:r>
      <w:bookmarkStart w:id="29" w:name="_Toc28359087"/>
      <w:bookmarkStart w:id="30" w:name="_Toc28359010"/>
      <w:r>
        <w:rPr>
          <w:rFonts w:hint="eastAsia" w:ascii="宋体" w:hAnsi="宋体" w:cs="宋体"/>
          <w:sz w:val="24"/>
          <w:szCs w:val="24"/>
        </w:rPr>
        <w:t>王先生010-88316256  田女士010-88316271</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3.项目联系方式</w:t>
      </w:r>
      <w:bookmarkEnd w:id="29"/>
      <w:bookmarkEnd w:id="30"/>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项目联系人：王先生、田女士</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电　话：</w:t>
      </w:r>
      <w:r>
        <w:rPr>
          <w:rFonts w:hint="eastAsia" w:hAnsi="宋体"/>
          <w:szCs w:val="21"/>
        </w:rPr>
        <w:t>010-8831625、</w:t>
      </w:r>
      <w:r>
        <w:rPr>
          <w:rFonts w:hAnsi="宋体"/>
          <w:szCs w:val="21"/>
        </w:rPr>
        <w:t>010-</w:t>
      </w:r>
      <w:r>
        <w:rPr>
          <w:rFonts w:hint="eastAsia" w:hAnsi="宋体"/>
          <w:szCs w:val="21"/>
        </w:rPr>
        <w:t>88316271</w:t>
      </w:r>
    </w:p>
    <w:p>
      <w:pPr>
        <w:widowControl/>
        <w:spacing w:line="380" w:lineRule="exact"/>
        <w:ind w:firstLine="475" w:firstLineChars="198"/>
        <w:jc w:val="left"/>
        <w:rPr>
          <w:rFonts w:ascii="宋体" w:hAnsi="宋体" w:cs="宋体"/>
          <w:sz w:val="24"/>
          <w:szCs w:val="24"/>
        </w:rPr>
      </w:pPr>
      <w:r>
        <w:rPr>
          <w:rFonts w:hint="eastAsia" w:ascii="宋体" w:hAnsi="宋体" w:cs="宋体"/>
          <w:sz w:val="24"/>
          <w:szCs w:val="24"/>
        </w:rPr>
        <w:t>4.代理机构汇款信息</w:t>
      </w:r>
    </w:p>
    <w:p>
      <w:pPr>
        <w:widowControl/>
        <w:spacing w:line="380" w:lineRule="exact"/>
        <w:ind w:left="489" w:leftChars="233"/>
        <w:jc w:val="left"/>
        <w:rPr>
          <w:rFonts w:ascii="宋体" w:hAnsi="宋体" w:cs="宋体"/>
          <w:sz w:val="24"/>
          <w:szCs w:val="24"/>
        </w:rPr>
      </w:pPr>
      <w:r>
        <w:rPr>
          <w:rFonts w:hint="eastAsia" w:ascii="宋体" w:hAnsi="宋体" w:cs="宋体"/>
          <w:sz w:val="24"/>
          <w:szCs w:val="24"/>
        </w:rPr>
        <w:t>户名：中国仪器进出口集团有限公司</w:t>
      </w:r>
    </w:p>
    <w:p>
      <w:pPr>
        <w:widowControl/>
        <w:spacing w:line="380" w:lineRule="exact"/>
        <w:ind w:left="489" w:leftChars="233"/>
        <w:jc w:val="left"/>
        <w:rPr>
          <w:sz w:val="24"/>
          <w:szCs w:val="24"/>
        </w:rPr>
      </w:pPr>
      <w:r>
        <w:rPr>
          <w:rFonts w:hint="eastAsia" w:ascii="宋体" w:hAnsi="宋体" w:cs="宋体"/>
          <w:sz w:val="24"/>
          <w:szCs w:val="24"/>
        </w:rPr>
        <w:t>开户银行：</w:t>
      </w:r>
      <w:r>
        <w:rPr>
          <w:rFonts w:hint="eastAsia"/>
          <w:sz w:val="24"/>
          <w:szCs w:val="24"/>
        </w:rPr>
        <w:t>交通银行阜外支行</w:t>
      </w:r>
    </w:p>
    <w:p>
      <w:pPr>
        <w:widowControl/>
        <w:spacing w:line="380" w:lineRule="exact"/>
        <w:ind w:left="489" w:leftChars="233"/>
        <w:jc w:val="left"/>
        <w:rPr>
          <w:rFonts w:ascii="宋体" w:hAnsi="宋体" w:cs="宋体"/>
          <w:sz w:val="24"/>
          <w:szCs w:val="24"/>
        </w:rPr>
      </w:pPr>
      <w:r>
        <w:rPr>
          <w:rFonts w:hint="eastAsia" w:ascii="宋体" w:hAnsi="宋体" w:cs="宋体"/>
          <w:sz w:val="24"/>
          <w:szCs w:val="24"/>
        </w:rPr>
        <w:t>账号：</w:t>
      </w:r>
      <w:r>
        <w:rPr>
          <w:rFonts w:hint="eastAsia"/>
          <w:sz w:val="24"/>
          <w:szCs w:val="24"/>
        </w:rPr>
        <w:t>110060239012015297042</w:t>
      </w:r>
    </w:p>
    <w:p>
      <w:pPr>
        <w:spacing w:line="380" w:lineRule="exact"/>
      </w:pPr>
    </w:p>
    <w:p>
      <w:pPr>
        <w:spacing w:line="380" w:lineRule="exact"/>
      </w:pPr>
    </w:p>
    <w:p>
      <w:pPr>
        <w:spacing w:line="380" w:lineRule="exact"/>
      </w:pPr>
    </w:p>
    <w:p>
      <w:pPr>
        <w:spacing w:line="380" w:lineRule="exact"/>
        <w:ind w:left="4620" w:firstLine="420"/>
        <w:rPr>
          <w:sz w:val="24"/>
          <w:szCs w:val="24"/>
        </w:rPr>
      </w:pPr>
      <w:r>
        <w:rPr>
          <w:rFonts w:hint="eastAsia"/>
          <w:sz w:val="24"/>
          <w:szCs w:val="24"/>
        </w:rPr>
        <w:t>中国仪器进出口集团有限公司</w:t>
      </w:r>
    </w:p>
    <w:p>
      <w:pPr>
        <w:ind w:firstLine="5520" w:firstLineChars="2300"/>
        <w:rPr>
          <w:rFonts w:hint="eastAsia"/>
          <w:sz w:val="24"/>
          <w:szCs w:val="24"/>
        </w:rPr>
      </w:pPr>
      <w:r>
        <w:rPr>
          <w:rFonts w:hint="eastAsia"/>
          <w:sz w:val="24"/>
          <w:szCs w:val="24"/>
        </w:rPr>
        <w:t>202</w:t>
      </w:r>
      <w:r>
        <w:rPr>
          <w:sz w:val="24"/>
          <w:szCs w:val="24"/>
        </w:rPr>
        <w:t>1</w:t>
      </w:r>
      <w:r>
        <w:rPr>
          <w:rFonts w:hint="eastAsia"/>
          <w:sz w:val="24"/>
          <w:szCs w:val="24"/>
        </w:rPr>
        <w:t>年</w:t>
      </w:r>
      <w:r>
        <w:rPr>
          <w:rFonts w:hint="eastAsia"/>
          <w:sz w:val="24"/>
          <w:szCs w:val="24"/>
          <w:lang w:val="en-US" w:eastAsia="zh-CN"/>
        </w:rPr>
        <w:t>09</w:t>
      </w:r>
      <w:r>
        <w:rPr>
          <w:rFonts w:hint="eastAsia"/>
          <w:sz w:val="24"/>
          <w:szCs w:val="24"/>
        </w:rPr>
        <w:t>月</w:t>
      </w:r>
      <w:r>
        <w:rPr>
          <w:rFonts w:hint="eastAsia"/>
          <w:sz w:val="24"/>
          <w:szCs w:val="24"/>
          <w:lang w:val="en-US" w:eastAsia="zh-CN"/>
        </w:rPr>
        <w:t>27</w:t>
      </w:r>
      <w:r>
        <w:rPr>
          <w:rFonts w:hint="eastAsia"/>
          <w:sz w:val="24"/>
          <w:szCs w:val="24"/>
        </w:rPr>
        <w:t>日</w:t>
      </w:r>
    </w:p>
    <w:p>
      <w:pPr>
        <w:ind w:firstLine="5520" w:firstLineChars="2300"/>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default"/>
          <w:sz w:val="24"/>
          <w:szCs w:val="24"/>
          <w:lang w:val="en-US" w:eastAsia="zh-CN"/>
        </w:rPr>
      </w:pPr>
      <w:bookmarkStart w:id="31" w:name="_GoBack"/>
      <w:bookmarkEnd w:id="3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PMingLiU-ExtB"/>
    <w:panose1 w:val="00000000000000000000"/>
    <w:charset w:val="88"/>
    <w:family w:val="roman"/>
    <w:pitch w:val="default"/>
    <w:sig w:usb0="00000000" w:usb1="00000000" w:usb2="00000016" w:usb3="00000000" w:csb0="00100001" w:csb1="00000000"/>
  </w:font>
  <w:font w:name="’宋体’">
    <w:altName w:val="宋体"/>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B5994"/>
    <w:rsid w:val="103B5994"/>
    <w:rsid w:val="68025008"/>
    <w:rsid w:val="681F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style>
  <w:style w:type="character" w:styleId="5">
    <w:name w:val="Hyperlink"/>
    <w:qFormat/>
    <w:uiPriority w:val="99"/>
    <w:rPr>
      <w:color w:val="0000FF"/>
      <w:u w:val="single"/>
    </w:rPr>
  </w:style>
  <w:style w:type="paragraph" w:customStyle="1" w:styleId="6">
    <w:name w:val="正文文本缩进 32"/>
    <w:basedOn w:val="1"/>
    <w:qFormat/>
    <w:uiPriority w:val="0"/>
    <w:pPr>
      <w:widowControl/>
      <w:spacing w:before="100" w:after="100"/>
    </w:pPr>
    <w:rPr>
      <w:rFonts w:ascii="宋体" w:hAnsi="宋体"/>
    </w:rPr>
  </w:style>
  <w:style w:type="paragraph" w:customStyle="1" w:styleId="7">
    <w:name w:val="纯文本1"/>
    <w:basedOn w:val="1"/>
    <w:qFormat/>
    <w:uiPriority w:val="0"/>
    <w:rPr>
      <w:rFonts w:ascii="宋体" w:hAnsi="Courier New" w:cs="Courier New"/>
      <w:szCs w:val="21"/>
    </w:rPr>
  </w:style>
  <w:style w:type="paragraph" w:customStyle="1" w:styleId="8">
    <w:name w:val="列出段落2"/>
    <w:basedOn w:val="1"/>
    <w:qFormat/>
    <w:uiPriority w:val="0"/>
    <w:pPr>
      <w:ind w:firstLine="420" w:firstLineChars="200"/>
    </w:pPr>
  </w:style>
  <w:style w:type="character" w:customStyle="1" w:styleId="9">
    <w:name w:val="页码1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2021-09-26T23:58:00Z</dcterms:created>
  <dc:creator>wangj</dc:creator>
  <cp:lastModifiedBy>wangj</cp:lastModifiedBy>
  <dcterms:modified xsi:type="dcterms:W3CDTF">2021-09-27T01:21:04Z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3754DA8F1F8B44BA819CC636578B9566</vt:lpwstr>
  </property>
</Properties>
</file>